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0B" w:rsidRPr="00502996" w:rsidRDefault="00FE2C0B" w:rsidP="00851C88">
      <w:pPr>
        <w:pStyle w:val="Section"/>
        <w:tabs>
          <w:tab w:val="clear" w:pos="360"/>
        </w:tabs>
        <w:jc w:val="center"/>
        <w:rPr>
          <w:sz w:val="22"/>
          <w:szCs w:val="22"/>
          <w:lang w:val="ro-RO"/>
        </w:rPr>
      </w:pPr>
      <w:bookmarkStart w:id="0" w:name="_Toc254944858"/>
      <w:bookmarkStart w:id="1" w:name="_GoBack"/>
      <w:bookmarkEnd w:id="1"/>
      <w:r w:rsidRPr="00502996">
        <w:rPr>
          <w:sz w:val="22"/>
          <w:szCs w:val="22"/>
          <w:lang w:val="ro-RO"/>
        </w:rPr>
        <w:t>Analiza SWOT</w:t>
      </w:r>
      <w:bookmarkEnd w:id="0"/>
    </w:p>
    <w:p w:rsidR="00FE2C0B" w:rsidRPr="00502996" w:rsidRDefault="00FE2C0B" w:rsidP="00851C88">
      <w:pPr>
        <w:pStyle w:val="NormalJustified"/>
      </w:pPr>
      <w:r w:rsidRPr="00502996">
        <w:t>Analiza SWOT este o metodă de planificare strategică utilizată în SDR pentru a evalua punctele forte, punctele slabe, oportunităţile şi pericolele specifice RDS. Principalul scop al analizei SWOT este de a dezvolta o înţelegere structurată atotcuprinzătoare a factorilor pozitivi şi negativi ce determină dezvoltarea Regiunii Sud.</w:t>
      </w:r>
    </w:p>
    <w:p w:rsidR="00FE2C0B" w:rsidRDefault="00FE2C0B">
      <w:pPr>
        <w:rPr>
          <w:lang w:val="ro-RO"/>
        </w:rPr>
      </w:pPr>
    </w:p>
    <w:tbl>
      <w:tblPr>
        <w:tblW w:w="9671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836"/>
      </w:tblGrid>
      <w:tr w:rsidR="00FE2C0B" w:rsidRPr="003F1C3D" w:rsidTr="00851C88">
        <w:trPr>
          <w:trHeight w:val="255"/>
          <w:jc w:val="center"/>
        </w:trPr>
        <w:tc>
          <w:tcPr>
            <w:tcW w:w="4835" w:type="dxa"/>
            <w:shd w:val="clear" w:color="auto" w:fill="CCC0D9"/>
            <w:noWrap/>
            <w:vAlign w:val="center"/>
          </w:tcPr>
          <w:p w:rsidR="00FE2C0B" w:rsidRPr="003F1C3D" w:rsidRDefault="00FE2C0B" w:rsidP="00DF6B47">
            <w:pPr>
              <w:jc w:val="center"/>
              <w:rPr>
                <w:rFonts w:ascii="Arial" w:hAnsi="Arial" w:cs="Arial"/>
                <w:b/>
                <w:bCs/>
                <w:color w:val="000080"/>
                <w:lang w:val="ro-RO" w:eastAsia="ru-RU"/>
              </w:rPr>
            </w:pPr>
            <w:r w:rsidRPr="003F1C3D">
              <w:rPr>
                <w:rFonts w:ascii="Arial" w:hAnsi="Arial" w:cs="Arial"/>
                <w:b/>
                <w:bCs/>
                <w:color w:val="000080"/>
                <w:lang w:val="ro-RO" w:eastAsia="ru-RU"/>
              </w:rPr>
              <w:t>PUNCTE FORTE</w:t>
            </w:r>
          </w:p>
        </w:tc>
        <w:tc>
          <w:tcPr>
            <w:tcW w:w="4836" w:type="dxa"/>
            <w:shd w:val="clear" w:color="auto" w:fill="CCC0D9"/>
            <w:vAlign w:val="center"/>
          </w:tcPr>
          <w:p w:rsidR="00FE2C0B" w:rsidRPr="003F1C3D" w:rsidRDefault="00FE2C0B" w:rsidP="00DF6B47">
            <w:pPr>
              <w:jc w:val="center"/>
              <w:rPr>
                <w:rFonts w:ascii="Arial" w:hAnsi="Arial" w:cs="Arial"/>
                <w:b/>
                <w:bCs/>
                <w:color w:val="000080"/>
                <w:lang w:val="ro-RO" w:eastAsia="ru-RU"/>
              </w:rPr>
            </w:pPr>
            <w:r w:rsidRPr="003F1C3D">
              <w:rPr>
                <w:rFonts w:ascii="Arial" w:hAnsi="Arial" w:cs="Arial"/>
                <w:b/>
                <w:bCs/>
                <w:color w:val="000080"/>
                <w:lang w:val="ro-RO" w:eastAsia="ru-RU"/>
              </w:rPr>
              <w:t>PUNCTE SLABE</w:t>
            </w:r>
          </w:p>
        </w:tc>
      </w:tr>
      <w:tr w:rsidR="00FE2C0B" w:rsidRPr="009000AE" w:rsidTr="00851C88">
        <w:trPr>
          <w:trHeight w:val="3925"/>
          <w:jc w:val="center"/>
        </w:trPr>
        <w:tc>
          <w:tcPr>
            <w:tcW w:w="4835" w:type="dxa"/>
            <w:noWrap/>
          </w:tcPr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</w:p>
          <w:p w:rsidR="00FE2C0B" w:rsidRPr="003F1C3D" w:rsidRDefault="00FE2C0B" w:rsidP="00DF6B47">
            <w:pPr>
              <w:rPr>
                <w:rFonts w:ascii="Arial" w:hAnsi="Arial" w:cs="Arial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Ie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 xml:space="preserve">irea la Dunăre 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  existenţa  portului</w:t>
            </w:r>
            <w:r w:rsidRPr="003F1C3D">
              <w:rPr>
                <w:rFonts w:ascii="Arial" w:hAnsi="Arial" w:cs="Arial"/>
                <w:lang w:val="ro-RO"/>
              </w:rPr>
              <w:t xml:space="preserve"> internaţional Giurgiule</w:t>
            </w:r>
            <w:r w:rsidRPr="003F1C3D">
              <w:rPr>
                <w:rFonts w:ascii="Tahoma" w:hAnsi="Tahoma" w:cs="Tahoma"/>
                <w:lang w:val="ro-RO"/>
              </w:rPr>
              <w:t>ș</w:t>
            </w:r>
            <w:r w:rsidRPr="003F1C3D">
              <w:rPr>
                <w:rFonts w:ascii="Arial" w:hAnsi="Arial" w:cs="Arial"/>
                <w:lang w:val="ro-RO"/>
              </w:rPr>
              <w:t>ti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Existen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 xml:space="preserve">a hotarelor comune cu UE prin România, a hotarelor cu Ucraina,  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 a celor 7 puncte de trecere a frontierei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Re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 xml:space="preserve">ea  diversificată de transport auto, feroviar şi fluvial 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/>
              </w:rPr>
            </w:pPr>
            <w:r w:rsidRPr="003F1C3D">
              <w:rPr>
                <w:rFonts w:ascii="Arial" w:hAnsi="Arial" w:cs="Arial"/>
                <w:lang w:val="ro-RO"/>
              </w:rPr>
              <w:t>Existen</w:t>
            </w:r>
            <w:r w:rsidRPr="003F1C3D">
              <w:rPr>
                <w:rFonts w:ascii="Tahoma" w:hAnsi="Tahoma" w:cs="Tahoma"/>
                <w:lang w:val="ro-RO"/>
              </w:rPr>
              <w:t>ț</w:t>
            </w:r>
            <w:r w:rsidRPr="003F1C3D">
              <w:rPr>
                <w:rFonts w:ascii="Arial" w:hAnsi="Arial" w:cs="Arial"/>
                <w:lang w:val="ro-RO"/>
              </w:rPr>
              <w:t xml:space="preserve">a magistralei de transport a energiei electrice </w:t>
            </w:r>
            <w:r w:rsidRPr="003F1C3D">
              <w:rPr>
                <w:rFonts w:ascii="Tahoma" w:hAnsi="Tahoma" w:cs="Tahoma"/>
                <w:lang w:val="ro-RO"/>
              </w:rPr>
              <w:t>ș</w:t>
            </w:r>
            <w:r w:rsidRPr="003F1C3D">
              <w:rPr>
                <w:rFonts w:ascii="Arial" w:hAnsi="Arial" w:cs="Arial"/>
                <w:lang w:val="ro-RO"/>
              </w:rPr>
              <w:t>i a gazelor naturale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Re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ea dezvoltată de gazoducte în regiune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/>
              </w:rPr>
            </w:pPr>
            <w:r w:rsidRPr="003F1C3D">
              <w:rPr>
                <w:rFonts w:ascii="Arial" w:hAnsi="Arial" w:cs="Arial"/>
                <w:lang w:val="ro-RO"/>
              </w:rPr>
              <w:t>Resurse de zăcăminte subterane  (petrol, gaz, ape minerale)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/>
              </w:rPr>
            </w:pPr>
            <w:r w:rsidRPr="003F1C3D">
              <w:rPr>
                <w:rFonts w:ascii="Arial" w:hAnsi="Arial" w:cs="Arial"/>
                <w:lang w:val="ro-RO"/>
              </w:rPr>
              <w:t>Condi</w:t>
            </w:r>
            <w:r w:rsidRPr="003F1C3D">
              <w:rPr>
                <w:rFonts w:ascii="Tahoma" w:hAnsi="Tahoma" w:cs="Tahoma"/>
                <w:lang w:val="ro-RO"/>
              </w:rPr>
              <w:t>ț</w:t>
            </w:r>
            <w:r w:rsidRPr="003F1C3D">
              <w:rPr>
                <w:rFonts w:ascii="Arial" w:hAnsi="Arial" w:cs="Arial"/>
                <w:lang w:val="ro-RO"/>
              </w:rPr>
              <w:t xml:space="preserve">ii climaterice </w:t>
            </w:r>
            <w:r w:rsidRPr="003F1C3D">
              <w:rPr>
                <w:rFonts w:ascii="Tahoma" w:hAnsi="Tahoma" w:cs="Tahoma"/>
                <w:lang w:val="ro-RO"/>
              </w:rPr>
              <w:t>ș</w:t>
            </w:r>
            <w:r w:rsidRPr="003F1C3D">
              <w:rPr>
                <w:rFonts w:ascii="Arial" w:hAnsi="Arial" w:cs="Arial"/>
                <w:lang w:val="ro-RO"/>
              </w:rPr>
              <w:t xml:space="preserve">i pedologice favorabile dezvoltării sectorului vitivinicol, pomicol </w:t>
            </w:r>
            <w:r w:rsidRPr="003F1C3D">
              <w:rPr>
                <w:rFonts w:ascii="Tahoma" w:hAnsi="Tahoma" w:cs="Tahoma"/>
                <w:lang w:val="ro-RO"/>
              </w:rPr>
              <w:t>ș</w:t>
            </w:r>
            <w:r w:rsidRPr="003F1C3D">
              <w:rPr>
                <w:rFonts w:ascii="Arial" w:hAnsi="Arial" w:cs="Arial"/>
                <w:lang w:val="ro-RO"/>
              </w:rPr>
              <w:t>i sectorului zootehnic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Existen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a poten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 xml:space="preserve">ialului industrial vinicol, a materiei prime pentru acest sector 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 a tradi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iilor bogate în producerea vinului de calitate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Condiţii agroclimatice favorabile producerii de uleiuri eterice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Existen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a unei re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ele de fabrici de prelucrare a produselor agricole (conserve, lactate, carne, uscătorii de fructe, de producere a făinii)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Existen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a spa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iilor cu destina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 xml:space="preserve">ie industrială, disponibile pentru utilizare 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 aflate în proprietate publică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3 zone economice libere existente în regiune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/>
              </w:rPr>
            </w:pPr>
            <w:r w:rsidRPr="003F1C3D">
              <w:rPr>
                <w:rFonts w:ascii="Arial" w:hAnsi="Arial" w:cs="Arial"/>
                <w:lang w:val="ro-RO"/>
              </w:rPr>
              <w:t>Existen</w:t>
            </w:r>
            <w:r w:rsidRPr="003F1C3D">
              <w:rPr>
                <w:rFonts w:ascii="Tahoma" w:hAnsi="Tahoma" w:cs="Tahoma"/>
                <w:lang w:val="ro-RO"/>
              </w:rPr>
              <w:t>ț</w:t>
            </w:r>
            <w:r w:rsidRPr="003F1C3D">
              <w:rPr>
                <w:rFonts w:ascii="Arial" w:hAnsi="Arial" w:cs="Arial"/>
                <w:lang w:val="ro-RO"/>
              </w:rPr>
              <w:t>a poten</w:t>
            </w:r>
            <w:r w:rsidRPr="003F1C3D">
              <w:rPr>
                <w:rFonts w:ascii="Tahoma" w:hAnsi="Tahoma" w:cs="Tahoma"/>
                <w:lang w:val="ro-RO"/>
              </w:rPr>
              <w:t>ț</w:t>
            </w:r>
            <w:r w:rsidRPr="003F1C3D">
              <w:rPr>
                <w:rFonts w:ascii="Arial" w:hAnsi="Arial" w:cs="Arial"/>
                <w:lang w:val="ro-RO"/>
              </w:rPr>
              <w:t>ialului uman, inclusiv a for</w:t>
            </w:r>
            <w:r w:rsidRPr="003F1C3D">
              <w:rPr>
                <w:rFonts w:ascii="Tahoma" w:hAnsi="Tahoma" w:cs="Tahoma"/>
                <w:lang w:val="ro-RO"/>
              </w:rPr>
              <w:t>ț</w:t>
            </w:r>
            <w:r w:rsidRPr="003F1C3D">
              <w:rPr>
                <w:rFonts w:ascii="Arial" w:hAnsi="Arial" w:cs="Arial"/>
                <w:lang w:val="ro-RO"/>
              </w:rPr>
              <w:t xml:space="preserve">ei </w:t>
            </w:r>
            <w:r w:rsidRPr="003F1C3D">
              <w:rPr>
                <w:rFonts w:ascii="Arial" w:hAnsi="Arial" w:cs="Arial"/>
                <w:lang w:val="ro-RO"/>
              </w:rPr>
              <w:lastRenderedPageBreak/>
              <w:t xml:space="preserve">de muncă instruită </w:t>
            </w:r>
            <w:r w:rsidRPr="003F1C3D">
              <w:rPr>
                <w:rFonts w:ascii="Tahoma" w:hAnsi="Tahoma" w:cs="Tahoma"/>
                <w:lang w:val="ro-RO"/>
              </w:rPr>
              <w:t>ș</w:t>
            </w:r>
            <w:r w:rsidRPr="003F1C3D">
              <w:rPr>
                <w:rFonts w:ascii="Arial" w:hAnsi="Arial" w:cs="Arial"/>
                <w:lang w:val="ro-RO"/>
              </w:rPr>
              <w:t>i relativ ieftină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Universitatea de Stat ,,B.P. Ha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 xml:space="preserve">deu” din Cahul ca centru de cercetare 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 inova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ii în diverse domenii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Existen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a unei re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 xml:space="preserve">ele de 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coli profesionale, cu programe pentru un spectru larg de meserii, pentru instruirea for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ei de muncă conform cererii pie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ii forţei de muncă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Strategia  sectorială regională ,,Strategia de gestionare integrată a de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 xml:space="preserve">eurilor solide în Regiunea de Dezvoltare Sud, RM”, 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 a unei structuri create ,,Asocia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ia de gestionare a de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ș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 xml:space="preserve">eurilor solide din RDS” 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color w:val="0070C0"/>
                <w:lang w:val="ro-RO"/>
              </w:rPr>
              <w:t>Poten</w:t>
            </w:r>
            <w:r w:rsidRPr="003F1C3D">
              <w:rPr>
                <w:rFonts w:ascii="Tahoma" w:hAnsi="Tahoma" w:cs="Tahoma"/>
                <w:color w:val="0070C0"/>
                <w:lang w:val="ro-RO"/>
              </w:rPr>
              <w:t>ț</w:t>
            </w:r>
            <w:r w:rsidRPr="003F1C3D">
              <w:rPr>
                <w:rFonts w:ascii="Arial" w:hAnsi="Arial" w:cs="Arial"/>
                <w:color w:val="0070C0"/>
                <w:lang w:val="ro-RO"/>
              </w:rPr>
              <w:t>ialul turistic  balneosanatorial (vestitul sanatoriu Nufărul Alb, Cahul)</w:t>
            </w:r>
          </w:p>
          <w:p w:rsidR="00FE2C0B" w:rsidRPr="003F1C3D" w:rsidRDefault="00FE2C0B" w:rsidP="00DF6B47">
            <w:pPr>
              <w:rPr>
                <w:rFonts w:ascii="Arial" w:hAnsi="Arial" w:cs="Arial"/>
                <w:i/>
                <w:color w:val="0070C0"/>
                <w:lang w:val="ro-RO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 xml:space="preserve">Existenţa reţelei prestatorilor de servicii de consultanţă în agricultură 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</w:p>
        </w:tc>
        <w:tc>
          <w:tcPr>
            <w:tcW w:w="4836" w:type="dxa"/>
          </w:tcPr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Absenţa oraşelor mari şi gradul redus de urbanizare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Potenţial industrial subdezvoltat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Prezenţa redusă a investiţiilor străine în regiune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Resursele energetice nesimnificative şi dependenţa de importuri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Calitatea proastă a infrastructurii fizice existente (drumuri, căi ferate, reţele de apeduct şi canalizare)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Nivel redus de asigurare cu servicii de aprovizionare cu apă şi canalizare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Sistem ineficient de gestionare a serviciilor publice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 xml:space="preserve">Gestionarea nesustenabilă a deşeurilor; cota redusă a deşeurilor reciclate şi a emisiilor gazoase colectate 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Infrastructura de aprovizionare cu apă neajustată la valorificarea de amploare a surselor de apă potabilă de suprafaţă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Gradul redus de localizare a agenţilor economici în regiune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 xml:space="preserve">Utilizarea tehnologiilor învechite în sectorul agroindustrial 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Capacitate scăzută a mediului de afaceri local de a efectua investiţii pentru dezvoltare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Utilizarea ineficientă a patrimoniului funciar (cota mare a terenurilor abandonate şi neprelucrate)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 xml:space="preserve">Infrastructură de colectare, păstrare şi comercializare a producţiei agricole slab dezvoltată 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 xml:space="preserve">Costul înalt al capitalului şi accesul limitat la finanţe pentru agenţi economici 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Situaţia demografică nefavorabilă, cauzată de sporul natural negativ şi exodul populaţiei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lipsa unui sistem eficient de instruire şi recalificare a forţei de muncă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Venituri proprii reduse ale autorităţilor publice locale şi dependenţa de transferuri de la autorităţile naţionale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lang w:val="ro-RO" w:eastAsia="ru-RU"/>
              </w:rPr>
            </w:pP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Capacităţi reduse de accesare a surselor de finanţare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Infrastructură turistică  slab dezvoltată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Ponderea mare a clădirilor publice cu un nivel redus de eficienţă energetică</w:t>
            </w: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</w:p>
          <w:p w:rsidR="00FE2C0B" w:rsidRPr="003F1C3D" w:rsidRDefault="00FE2C0B" w:rsidP="00DF6B47">
            <w:pPr>
              <w:spacing w:line="180" w:lineRule="exact"/>
              <w:rPr>
                <w:rFonts w:ascii="Arial" w:hAnsi="Arial" w:cs="Arial"/>
                <w:color w:val="0070C0"/>
                <w:lang w:val="ro-RO" w:eastAsia="ru-RU"/>
              </w:rPr>
            </w:pPr>
          </w:p>
        </w:tc>
      </w:tr>
      <w:tr w:rsidR="00FE2C0B" w:rsidRPr="003F1C3D" w:rsidTr="00851C88">
        <w:trPr>
          <w:trHeight w:val="219"/>
          <w:jc w:val="center"/>
        </w:trPr>
        <w:tc>
          <w:tcPr>
            <w:tcW w:w="4835" w:type="dxa"/>
            <w:shd w:val="clear" w:color="auto" w:fill="CCC0D9"/>
            <w:noWrap/>
            <w:vAlign w:val="center"/>
          </w:tcPr>
          <w:p w:rsidR="00FE2C0B" w:rsidRPr="003F1C3D" w:rsidRDefault="00FE2C0B" w:rsidP="00DF6B47">
            <w:pPr>
              <w:ind w:firstLine="178"/>
              <w:jc w:val="center"/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b/>
                <w:bCs/>
                <w:color w:val="000080"/>
                <w:lang w:val="ro-RO" w:eastAsia="ru-RU"/>
              </w:rPr>
              <w:lastRenderedPageBreak/>
              <w:t>OPORTUNITATI</w:t>
            </w:r>
          </w:p>
        </w:tc>
        <w:tc>
          <w:tcPr>
            <w:tcW w:w="4836" w:type="dxa"/>
            <w:shd w:val="clear" w:color="auto" w:fill="CCC0D9"/>
            <w:vAlign w:val="center"/>
          </w:tcPr>
          <w:p w:rsidR="00FE2C0B" w:rsidRPr="003F1C3D" w:rsidRDefault="00FE2C0B" w:rsidP="00DF6B47">
            <w:pPr>
              <w:jc w:val="center"/>
              <w:rPr>
                <w:rFonts w:ascii="Arial" w:hAnsi="Arial" w:cs="Arial"/>
                <w:b/>
                <w:bCs/>
                <w:color w:val="000080"/>
                <w:lang w:val="ro-RO" w:eastAsia="ru-RU"/>
              </w:rPr>
            </w:pPr>
            <w:r w:rsidRPr="003F1C3D">
              <w:rPr>
                <w:rFonts w:ascii="Arial" w:hAnsi="Arial" w:cs="Arial"/>
                <w:b/>
                <w:bCs/>
                <w:color w:val="000080"/>
                <w:lang w:val="ro-RO" w:eastAsia="ru-RU"/>
              </w:rPr>
              <w:t>PERICOLE</w:t>
            </w:r>
          </w:p>
        </w:tc>
      </w:tr>
      <w:tr w:rsidR="00FE2C0B" w:rsidRPr="009000AE" w:rsidTr="00851C88">
        <w:trPr>
          <w:trHeight w:val="752"/>
          <w:jc w:val="center"/>
        </w:trPr>
        <w:tc>
          <w:tcPr>
            <w:tcW w:w="4835" w:type="dxa"/>
          </w:tcPr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Vecinătatea cu UE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 xml:space="preserve">Apartenenţa la trei Euroregiuni şi eligibilitatea pentru programele UE de cooperare transfrontalieră (Moldova –Ucraina </w:t>
            </w:r>
            <w:r w:rsidRPr="003F1C3D">
              <w:rPr>
                <w:rFonts w:ascii="Arial" w:hAnsi="Arial" w:cs="Arial"/>
                <w:lang w:val="ro-RO"/>
              </w:rPr>
              <w:t>–</w:t>
            </w:r>
            <w:r w:rsidRPr="003F1C3D">
              <w:rPr>
                <w:rFonts w:ascii="Arial" w:hAnsi="Arial" w:cs="Arial"/>
                <w:lang w:val="ro-RO" w:eastAsia="ru-RU"/>
              </w:rPr>
              <w:t>România 2007-2013; Bazinul Mării Negre, Parteneriatul Estic)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Gradul înalt de prioritate acordat de Guvern reformelor de dezvoltare regională şi descentralizare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Crearea clusterelor (vini-viticol, oierit, legumelor şi fructelor, turism),  şi incubatoarelor tehnologice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Cadrul legislativ favorabil pentru crearea parcurilor industriale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Dezvoltarea conexiunilor la reţelele de drumuri internaţionale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 xml:space="preserve">Atragerea investiţiilor de tip brownfield în baza spaţiilor şi a terenurilor industriale disponibile </w:t>
            </w:r>
            <w:r w:rsidRPr="003F1C3D">
              <w:rPr>
                <w:rFonts w:ascii="Arial" w:hAnsi="Arial" w:cs="Arial"/>
                <w:color w:val="0070C0"/>
                <w:lang w:val="ro-RO" w:eastAsia="ru-RU"/>
              </w:rPr>
              <w:lastRenderedPageBreak/>
              <w:t>cu acces la portul maritim Giurgiuleşti, cale ferată şi transportul rutier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Valorificarea rezervaţiilor naturale şi ariilor protejate ca resursă turistică şi recreaţională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Promovarea investiţiilor prin programe  de atragere a remitenţelor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Dezvoltarea sectorului energiilor alternative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Posibilitatea de asociere între agenţii economici din Euroregiune în sensul dezvoltării şi extinderii pieţelor de desfacere şi aprovizionare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Dezvoltarea parteneriatelor public-privat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Cererea ridicată pe piaţa europeană pentru produse agricole ecologice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Dezvoltarea reţelelor de artizanat şi meşteşuguri populare pentru promovarea turismului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</w:p>
        </w:tc>
        <w:tc>
          <w:tcPr>
            <w:tcW w:w="4836" w:type="dxa"/>
          </w:tcPr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bookmarkStart w:id="2" w:name="OLE_LINK2"/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Concurenţa neloială a produselor din import generată de  pătrunderea pe piaţa regională a produselor mai puţin calitative, cu preţuri de dumping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Menţinerea imaginii nefavorabile a regiunii în faţa potenţialilor investitori şi turişti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Instabilitatea politică la nivel naţional, exprimată prin incoerenţa politicilor în domeniul dezvoltării regionale şi/sau modificări frecvente ale cadrului normativ 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Fluctuaţia preţurilor la energie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 xml:space="preserve">Migraţia continuă a populaţiei economic active, </w:t>
            </w: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inclusiv a forţei de muncă</w:t>
            </w:r>
            <w:r w:rsidRPr="003F1C3D">
              <w:rPr>
                <w:rFonts w:ascii="Arial" w:hAnsi="Arial" w:cs="Arial"/>
                <w:lang w:val="ro-RO" w:eastAsia="ru-RU"/>
              </w:rPr>
              <w:t xml:space="preserve"> </w:t>
            </w: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competente şi înalt calificate</w:t>
            </w:r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lang w:val="ro-RO" w:eastAsia="ru-RU"/>
              </w:rPr>
              <w:t>Deşertificarea, creşterea frecvenţei calamităţilor naturale şi stărilor de vreme extreme ca rezultat al proceselor de schimbare a climei</w:t>
            </w:r>
            <w:bookmarkEnd w:id="2"/>
          </w:p>
          <w:p w:rsidR="00FE2C0B" w:rsidRPr="003F1C3D" w:rsidRDefault="00FE2C0B" w:rsidP="00DF6B47">
            <w:pPr>
              <w:rPr>
                <w:rFonts w:ascii="Arial" w:hAnsi="Arial" w:cs="Arial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lastRenderedPageBreak/>
              <w:t>Degradarea calităţii terenurilor agricole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  <w:r w:rsidRPr="003F1C3D">
              <w:rPr>
                <w:rFonts w:ascii="Arial" w:hAnsi="Arial" w:cs="Arial"/>
                <w:color w:val="0070C0"/>
                <w:lang w:val="ro-RO" w:eastAsia="ru-RU"/>
              </w:rPr>
              <w:t>Lipsa unei viziuni clare la nivel central privind sinergia utilizării fondurilor bugetare pentru dezvoltare.</w:t>
            </w: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</w:p>
          <w:p w:rsidR="00FE2C0B" w:rsidRPr="003F1C3D" w:rsidRDefault="00FE2C0B" w:rsidP="00DF6B47">
            <w:pPr>
              <w:rPr>
                <w:rFonts w:ascii="Arial" w:hAnsi="Arial" w:cs="Arial"/>
                <w:color w:val="0070C0"/>
                <w:lang w:val="ro-RO" w:eastAsia="ru-RU"/>
              </w:rPr>
            </w:pPr>
          </w:p>
        </w:tc>
      </w:tr>
    </w:tbl>
    <w:p w:rsidR="00FE2C0B" w:rsidRDefault="00FE2C0B">
      <w:pPr>
        <w:rPr>
          <w:lang w:val="ro-RO"/>
        </w:rPr>
      </w:pPr>
    </w:p>
    <w:p w:rsidR="00FE2C0B" w:rsidRPr="00851C88" w:rsidRDefault="00FE2C0B">
      <w:pPr>
        <w:rPr>
          <w:lang w:val="ro-RO"/>
        </w:rPr>
      </w:pPr>
    </w:p>
    <w:sectPr w:rsidR="00FE2C0B" w:rsidRPr="00851C88" w:rsidSect="00851C8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E1" w:rsidRDefault="00C165E1" w:rsidP="00851C88">
      <w:pPr>
        <w:spacing w:after="0" w:line="240" w:lineRule="auto"/>
      </w:pPr>
      <w:r>
        <w:separator/>
      </w:r>
    </w:p>
  </w:endnote>
  <w:endnote w:type="continuationSeparator" w:id="0">
    <w:p w:rsidR="00C165E1" w:rsidRDefault="00C165E1" w:rsidP="0085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0B" w:rsidRDefault="00C165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0AE">
      <w:rPr>
        <w:noProof/>
      </w:rPr>
      <w:t>1</w:t>
    </w:r>
    <w:r>
      <w:rPr>
        <w:noProof/>
      </w:rPr>
      <w:fldChar w:fldCharType="end"/>
    </w:r>
  </w:p>
  <w:p w:rsidR="00FE2C0B" w:rsidRDefault="00FE2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E1" w:rsidRDefault="00C165E1" w:rsidP="00851C88">
      <w:pPr>
        <w:spacing w:after="0" w:line="240" w:lineRule="auto"/>
      </w:pPr>
      <w:r>
        <w:separator/>
      </w:r>
    </w:p>
  </w:footnote>
  <w:footnote w:type="continuationSeparator" w:id="0">
    <w:p w:rsidR="00C165E1" w:rsidRDefault="00C165E1" w:rsidP="0085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D75"/>
    <w:multiLevelType w:val="hybridMultilevel"/>
    <w:tmpl w:val="DBC4B2D4"/>
    <w:lvl w:ilvl="0" w:tplc="04190019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82C65D82">
      <w:start w:val="2"/>
      <w:numFmt w:val="decimal"/>
      <w:lvlText w:val="%3"/>
      <w:lvlJc w:val="left"/>
      <w:pPr>
        <w:ind w:left="2530" w:hanging="360"/>
      </w:pPr>
      <w:rPr>
        <w:rFonts w:cs="Times New Roman" w:hint="default"/>
      </w:rPr>
    </w:lvl>
    <w:lvl w:ilvl="3" w:tplc="15BAC9A4">
      <w:start w:val="1"/>
      <w:numFmt w:val="upperRoman"/>
      <w:lvlText w:val="%4."/>
      <w:lvlJc w:val="left"/>
      <w:pPr>
        <w:ind w:left="3430" w:hanging="720"/>
      </w:pPr>
      <w:rPr>
        <w:rFonts w:cs="Times New Roman" w:hint="default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">
    <w:nsid w:val="4B1E7725"/>
    <w:multiLevelType w:val="hybridMultilevel"/>
    <w:tmpl w:val="86B2F7EE"/>
    <w:lvl w:ilvl="0" w:tplc="2B049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lowerLetter"/>
      <w:lvlText w:val="%3)"/>
      <w:lvlJc w:val="left"/>
      <w:pPr>
        <w:ind w:left="2175" w:hanging="555"/>
      </w:pPr>
      <w:rPr>
        <w:rFonts w:cs="Times New Roman" w:hint="default"/>
      </w:rPr>
    </w:lvl>
    <w:lvl w:ilvl="3" w:tplc="08090001">
      <w:start w:val="1"/>
      <w:numFmt w:val="lowerLetter"/>
      <w:lvlText w:val="%4."/>
      <w:lvlJc w:val="left"/>
      <w:pPr>
        <w:ind w:left="2700" w:hanging="540"/>
      </w:pPr>
      <w:rPr>
        <w:rFonts w:cs="Times New Roman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C88"/>
    <w:rsid w:val="000B6916"/>
    <w:rsid w:val="003F1C3D"/>
    <w:rsid w:val="00502996"/>
    <w:rsid w:val="005E5B6F"/>
    <w:rsid w:val="007A55CB"/>
    <w:rsid w:val="00851C88"/>
    <w:rsid w:val="009000AE"/>
    <w:rsid w:val="00AE55B8"/>
    <w:rsid w:val="00C165E1"/>
    <w:rsid w:val="00DF6B47"/>
    <w:rsid w:val="00DF6CC7"/>
    <w:rsid w:val="00EE7DB0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1C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1C88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ection">
    <w:name w:val="Section"/>
    <w:basedOn w:val="a"/>
    <w:next w:val="1"/>
    <w:uiPriority w:val="99"/>
    <w:rsid w:val="00851C88"/>
    <w:pPr>
      <w:keepNext/>
      <w:pageBreakBefore/>
      <w:tabs>
        <w:tab w:val="num" w:pos="360"/>
      </w:tabs>
      <w:spacing w:after="400" w:line="240" w:lineRule="auto"/>
      <w:ind w:left="360" w:hanging="360"/>
      <w:outlineLvl w:val="0"/>
    </w:pPr>
    <w:rPr>
      <w:rFonts w:ascii="Arial" w:hAnsi="Arial"/>
      <w:b/>
      <w:kern w:val="32"/>
      <w:sz w:val="32"/>
      <w:szCs w:val="20"/>
      <w:lang w:val="en-GB"/>
    </w:rPr>
  </w:style>
  <w:style w:type="paragraph" w:customStyle="1" w:styleId="NormalJustified">
    <w:name w:val="Normal + Justified"/>
    <w:aliases w:val="Before:  6 pt,After:  6 pt"/>
    <w:basedOn w:val="a"/>
    <w:uiPriority w:val="99"/>
    <w:rsid w:val="00851C88"/>
    <w:pPr>
      <w:spacing w:before="120" w:after="120" w:line="240" w:lineRule="auto"/>
      <w:jc w:val="both"/>
    </w:pPr>
    <w:rPr>
      <w:rFonts w:ascii="Arial" w:hAnsi="Arial" w:cs="Arial"/>
      <w:lang w:val="ro-RO"/>
    </w:rPr>
  </w:style>
  <w:style w:type="paragraph" w:styleId="a3">
    <w:name w:val="header"/>
    <w:basedOn w:val="a"/>
    <w:link w:val="a4"/>
    <w:uiPriority w:val="99"/>
    <w:rsid w:val="0085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51C88"/>
    <w:rPr>
      <w:rFonts w:cs="Times New Roman"/>
    </w:rPr>
  </w:style>
  <w:style w:type="paragraph" w:styleId="a5">
    <w:name w:val="footer"/>
    <w:basedOn w:val="a"/>
    <w:link w:val="a6"/>
    <w:uiPriority w:val="99"/>
    <w:rsid w:val="0085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51C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2012-08-14T15:27:00Z</cp:lastPrinted>
  <dcterms:created xsi:type="dcterms:W3CDTF">2012-08-13T13:32:00Z</dcterms:created>
  <dcterms:modified xsi:type="dcterms:W3CDTF">2012-08-14T15:27:00Z</dcterms:modified>
</cp:coreProperties>
</file>